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D" w:rsidRPr="00F636FD" w:rsidRDefault="00F636FD" w:rsidP="00F636F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636FD">
        <w:rPr>
          <w:b/>
          <w:bCs/>
          <w:kern w:val="36"/>
          <w:sz w:val="48"/>
          <w:szCs w:val="48"/>
        </w:rPr>
        <w:t>Выдача повторных свидетельств (справок)</w:t>
      </w:r>
    </w:p>
    <w:p w:rsidR="00F636FD" w:rsidRPr="00F636FD" w:rsidRDefault="00F636FD" w:rsidP="00F636FD">
      <w:pPr>
        <w:spacing w:before="100" w:beforeAutospacing="1" w:after="100" w:afterAutospacing="1"/>
        <w:jc w:val="center"/>
      </w:pPr>
      <w:r w:rsidRPr="00F636FD">
        <w:rPr>
          <w:b/>
          <w:bCs/>
          <w:sz w:val="30"/>
          <w:szCs w:val="30"/>
        </w:rPr>
        <w:t>ВЫДАЧА ПОВТОРНЫХ СВИДЕТЕЛЬСТВ (СПРАВОК), ПОДТВЕРЖДАЮЩИХ ФАКТ ГОСУДАРСТВЕННОЙ РЕГИСТРАЦИИ АКТА ГРАЖДАНСКОГО СОСТОЯНИЯ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b/>
          <w:bCs/>
          <w:sz w:val="30"/>
          <w:szCs w:val="30"/>
        </w:rPr>
        <w:t xml:space="preserve"> 1. Сроки предоставления государственной услуги 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b/>
          <w:bCs/>
          <w:sz w:val="30"/>
          <w:szCs w:val="30"/>
        </w:rPr>
        <w:t xml:space="preserve"> В случае личного обращения заявителя</w:t>
      </w:r>
      <w:r w:rsidRPr="00F636FD">
        <w:rPr>
          <w:sz w:val="30"/>
          <w:szCs w:val="30"/>
        </w:rPr>
        <w:t> 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 </w:t>
      </w:r>
      <w:r w:rsidRPr="00F636FD">
        <w:rPr>
          <w:b/>
          <w:bCs/>
          <w:sz w:val="30"/>
          <w:szCs w:val="30"/>
        </w:rPr>
        <w:t>в день обращения</w:t>
      </w:r>
      <w:r w:rsidRPr="00F636FD">
        <w:rPr>
          <w:sz w:val="30"/>
          <w:szCs w:val="30"/>
        </w:rPr>
        <w:t> заявителя при условии представления всех необходимых документов.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минут, при отсутствии в архиве органа, предоставляющего государственную услугу, соответствующей записи акта гражданского состояния – 1 месяц.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b/>
          <w:bCs/>
          <w:sz w:val="30"/>
          <w:szCs w:val="30"/>
        </w:rPr>
        <w:t xml:space="preserve"> 2. Государственная пошлина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b/>
          <w:bCs/>
          <w:sz w:val="30"/>
          <w:szCs w:val="30"/>
        </w:rPr>
        <w:t xml:space="preserve"> Размеры государственной пошлины: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6) за выдачу повторного свидетельства о государственной регистрации акта гражданского состояния - 350 рублей; (в ред. Федерального закона от 21.07.2014 N 221-ФЗ)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b/>
          <w:bCs/>
          <w:sz w:val="30"/>
          <w:szCs w:val="30"/>
        </w:rPr>
        <w:t xml:space="preserve"> 3. Перечень необходимых документов для государственной регистрации 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lastRenderedPageBreak/>
        <w:t xml:space="preserve"> Заявление о выдаче повторного свидетельства о государственной регистрации акта гражданского состояния или иного документа (справки), подтверждающего факт государственной регистрации акта гражданского состояния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- Документ, удостоверяющий личность заявителя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- Документы, подтверждающие право заявителя на получение повторного свидетельства (справки) о государственной регистрации акта гражданского состояния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Статья 9 Федерального закона от 15.11.1997 № 143-ФЗ «Об актах гражданского состояния»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Повторное свидетельство о государственной регистрации акта гражданского состояния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1. В случае утраты свидетельства о государственной регистрации акта гражданского состояния орган записи актов гражданского состояния, в котором хранится первый экземпляр записи акта гражданского состояния, выдает повторное свидетельство о государственной регистрации акта гражданского состояния.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В случае, если первый экземпляр записи акта гражданского состояния не сохранился,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Федерации, в котором хранится второй экземпляр записи акта гражданского состояния</w:t>
      </w:r>
      <w:proofErr w:type="gramStart"/>
      <w:r w:rsidRPr="00F636FD">
        <w:rPr>
          <w:i/>
          <w:iCs/>
          <w:sz w:val="30"/>
          <w:szCs w:val="30"/>
        </w:rPr>
        <w:t>.</w:t>
      </w:r>
      <w:proofErr w:type="gramEnd"/>
      <w:r w:rsidRPr="00F636FD">
        <w:rPr>
          <w:i/>
          <w:iCs/>
          <w:sz w:val="30"/>
          <w:szCs w:val="30"/>
        </w:rPr>
        <w:t> (</w:t>
      </w:r>
      <w:proofErr w:type="gramStart"/>
      <w:r w:rsidRPr="00F636FD">
        <w:rPr>
          <w:i/>
          <w:iCs/>
          <w:sz w:val="30"/>
          <w:szCs w:val="30"/>
        </w:rPr>
        <w:t>а</w:t>
      </w:r>
      <w:proofErr w:type="gramEnd"/>
      <w:r w:rsidRPr="00F636FD">
        <w:rPr>
          <w:i/>
          <w:iCs/>
          <w:sz w:val="30"/>
          <w:szCs w:val="30"/>
        </w:rPr>
        <w:t>бзац введен Федеральным </w:t>
      </w:r>
      <w:hyperlink r:id="rId5" w:history="1">
        <w:r w:rsidRPr="00F636FD">
          <w:rPr>
            <w:i/>
            <w:iCs/>
            <w:color w:val="0000FF"/>
            <w:sz w:val="30"/>
            <w:szCs w:val="30"/>
            <w:u w:val="single"/>
          </w:rPr>
          <w:t>законом</w:t>
        </w:r>
      </w:hyperlink>
      <w:r w:rsidRPr="00F636FD">
        <w:rPr>
          <w:i/>
          <w:iCs/>
          <w:sz w:val="30"/>
          <w:szCs w:val="30"/>
        </w:rPr>
        <w:t> от 29.04.2002 N 44-ФЗ)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2. Повторное свидетельство о государственной регистрации акта гражданского состояния выдается: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лицу, в отношении которого была составлена запись акта гражданского состояния;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</w:t>
      </w:r>
      <w:proofErr w:type="gramStart"/>
      <w:r w:rsidRPr="00F636FD">
        <w:rPr>
          <w:i/>
          <w:iCs/>
          <w:sz w:val="30"/>
          <w:szCs w:val="30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  <w:proofErr w:type="gramEnd"/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совершеннолетия;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lastRenderedPageBreak/>
        <w:t xml:space="preserve"> 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3. Повторное свидетельство о государственной регистрации акта гражданского состояния не выдается: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лицам, расторгнувшим брак, и лицам, брак которых признан недействительным, - свидетельство о заключении брака.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По просьбе указанных лиц им выдается документ, подтверждающий факт государственной регистрации рождения ребенка или заключения брака.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выдается в день обращения.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i/>
          <w:iCs/>
          <w:sz w:val="30"/>
          <w:szCs w:val="30"/>
        </w:rPr>
        <w:t xml:space="preserve"> В случае, если лицо обращается в орган записи актов гражданского состояния с запросом в письменной форме, повторное свидетельство высылается по указанному таким лицом адресу. Одновременно с запросом в письменной форме необходимо представить квитанцию об уплате соответствующей </w:t>
      </w:r>
      <w:hyperlink r:id="rId6" w:history="1">
        <w:r w:rsidRPr="00F636FD">
          <w:rPr>
            <w:i/>
            <w:iCs/>
            <w:color w:val="0000FF"/>
            <w:sz w:val="30"/>
            <w:szCs w:val="30"/>
            <w:u w:val="single"/>
          </w:rPr>
          <w:t>государственной пошлины</w:t>
        </w:r>
      </w:hyperlink>
      <w:r w:rsidRPr="00F636FD">
        <w:rPr>
          <w:i/>
          <w:iCs/>
          <w:sz w:val="30"/>
          <w:szCs w:val="30"/>
        </w:rPr>
        <w:t>.</w:t>
      </w:r>
    </w:p>
    <w:p w:rsidR="00F636FD" w:rsidRPr="00F636FD" w:rsidRDefault="00F636FD" w:rsidP="00F636FD">
      <w:pPr>
        <w:spacing w:before="100" w:beforeAutospacing="1" w:after="100" w:afterAutospacing="1"/>
        <w:jc w:val="both"/>
      </w:pPr>
      <w:r w:rsidRPr="00F636FD">
        <w:rPr>
          <w:sz w:val="30"/>
          <w:szCs w:val="30"/>
        </w:rPr>
        <w:t xml:space="preserve"> - Документ, подтверждающий уплату государственной пошлины или документ, являющийся основанием для предоставления налоговых льгот физическим лицам</w:t>
      </w:r>
    </w:p>
    <w:p w:rsidR="002F5471" w:rsidRDefault="002F5471">
      <w:bookmarkStart w:id="0" w:name="_GoBack"/>
      <w:bookmarkEnd w:id="0"/>
    </w:p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D"/>
    <w:rsid w:val="002F5471"/>
    <w:rsid w:val="008B5F66"/>
    <w:rsid w:val="00F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ADA7666EE9E43F77E7B4E76404E4D782125B4C14B48BC3ACB07C3BF1947C5BE89F4CAAk3Q7L" TargetMode="External"/><Relationship Id="rId5" Type="http://schemas.openxmlformats.org/officeDocument/2006/relationships/hyperlink" Target="consultantplus://offline/ref=CE01ADA7666EE9E43F77E7B4E76404E4D5861F524D1FE981CBF5BC7E3CFECB6B5CA19345AE33F1kCQ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1</cp:revision>
  <dcterms:created xsi:type="dcterms:W3CDTF">2020-05-26T11:56:00Z</dcterms:created>
  <dcterms:modified xsi:type="dcterms:W3CDTF">2020-05-26T11:56:00Z</dcterms:modified>
</cp:coreProperties>
</file>